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立项编号：2024001</w:t>
      </w:r>
      <w:bookmarkStart w:id="0" w:name="_GoBack"/>
      <w:bookmarkEnd w:id="0"/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电动山地双轨运输车技术规范</w:t>
            </w:r>
          </w:p>
          <w:p w14:paraId="498BD60A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T</w:t>
            </w:r>
            <w:r>
              <w:rPr>
                <w:rFonts w:hint="eastAsia" w:ascii="方正仿宋_GBK" w:hAnsi="仿宋" w:eastAsia="方正仿宋_GBK"/>
                <w:sz w:val="21"/>
                <w:szCs w:val="21"/>
              </w:rPr>
              <w:t>echnical Specifications of Electric mountain double track transport vehicle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23A3A9-4C8F-4176-A2A7-4A3668FCB1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28410B-FA0A-41A5-8CE5-E9D7BCF387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976E79-1E56-4E54-AF1B-8AEB2A5ED0A4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20233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2025-07-21T02:57:03Z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